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91" w:rsidRPr="00C50091" w:rsidRDefault="00C50091" w:rsidP="00C500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0091">
        <w:rPr>
          <w:rFonts w:ascii="Times New Roman" w:hAnsi="Times New Roman"/>
          <w:b/>
          <w:sz w:val="28"/>
          <w:szCs w:val="24"/>
        </w:rPr>
        <w:t>Coordinación de Políticas Transversales</w:t>
      </w:r>
    </w:p>
    <w:p w:rsidR="005020E4" w:rsidRPr="00C50091" w:rsidRDefault="00C50091" w:rsidP="00C500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0091">
        <w:rPr>
          <w:rFonts w:ascii="Times New Roman" w:hAnsi="Times New Roman"/>
          <w:b/>
          <w:sz w:val="28"/>
          <w:szCs w:val="24"/>
        </w:rPr>
        <w:t>Programa Educativo Provincial de Prevención de Adicciones</w:t>
      </w:r>
    </w:p>
    <w:p w:rsidR="00C50091" w:rsidRPr="005B73A8" w:rsidRDefault="00C50091" w:rsidP="005B73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5601" w:rsidRPr="005B73A8" w:rsidRDefault="007F5601" w:rsidP="005B73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5B73A8">
        <w:rPr>
          <w:rFonts w:ascii="Times New Roman" w:hAnsi="Times New Roman"/>
          <w:sz w:val="24"/>
          <w:szCs w:val="24"/>
        </w:rPr>
        <w:tab/>
        <w:t>Desde 2004, el Programa de Prevención de Adicciones ha</w:t>
      </w:r>
      <w:r w:rsidR="00B76DC9" w:rsidRPr="005B73A8">
        <w:rPr>
          <w:rFonts w:ascii="Times New Roman" w:hAnsi="Times New Roman"/>
          <w:sz w:val="24"/>
          <w:szCs w:val="24"/>
        </w:rPr>
        <w:t xml:space="preserve"> desarrollado líneas de acción </w:t>
      </w:r>
      <w:r w:rsidRPr="005B73A8">
        <w:rPr>
          <w:rFonts w:ascii="Times New Roman" w:hAnsi="Times New Roman"/>
          <w:sz w:val="24"/>
          <w:szCs w:val="24"/>
        </w:rPr>
        <w:t xml:space="preserve">en </w:t>
      </w:r>
      <w:r w:rsidRPr="005B73A8">
        <w:rPr>
          <w:rFonts w:ascii="Times New Roman" w:hAnsi="Times New Roman"/>
          <w:b/>
          <w:bCs/>
          <w:sz w:val="24"/>
          <w:szCs w:val="24"/>
        </w:rPr>
        <w:t>Educación Preventiva Integral</w:t>
      </w:r>
      <w:r w:rsidRPr="005B73A8">
        <w:rPr>
          <w:rFonts w:ascii="Times New Roman" w:hAnsi="Times New Roman"/>
          <w:sz w:val="24"/>
          <w:szCs w:val="24"/>
        </w:rPr>
        <w:t xml:space="preserve"> en todos los departamentos de la Provincia, teniendo como destinatarios a los actores de la comunidad educativa entre ellos, supervisores, directivos, docentes, tutores, preceptores, </w:t>
      </w:r>
      <w:r w:rsidR="00490FEE">
        <w:rPr>
          <w:rFonts w:ascii="Times New Roman" w:hAnsi="Times New Roman"/>
          <w:sz w:val="24"/>
          <w:szCs w:val="24"/>
        </w:rPr>
        <w:t xml:space="preserve">estudiantes, </w:t>
      </w:r>
      <w:r w:rsidRPr="005B73A8">
        <w:rPr>
          <w:rFonts w:ascii="Times New Roman" w:hAnsi="Times New Roman"/>
          <w:sz w:val="24"/>
          <w:szCs w:val="24"/>
        </w:rPr>
        <w:t>etc.</w:t>
      </w:r>
    </w:p>
    <w:p w:rsidR="005B73A8" w:rsidRPr="005B73A8" w:rsidRDefault="005B73A8" w:rsidP="005B73A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  propuesta  educativa en p</w:t>
      </w:r>
      <w:r w:rsidRPr="005B73A8">
        <w:rPr>
          <w:rFonts w:ascii="Times New Roman" w:eastAsia="Times New Roman" w:hAnsi="Times New Roman"/>
          <w:sz w:val="24"/>
          <w:szCs w:val="24"/>
        </w:rPr>
        <w:t xml:space="preserve">revención de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B73A8">
        <w:rPr>
          <w:rFonts w:ascii="Times New Roman" w:eastAsia="Times New Roman" w:hAnsi="Times New Roman"/>
          <w:sz w:val="24"/>
          <w:szCs w:val="24"/>
        </w:rPr>
        <w:t>dicciones  se concreta y sostiene con el compromiso colectivo, desde una mirada de corresponsabilidad en la política educativa actual; delimitando aquellos temas, situaciones, contenidos  que se consideran ineludibles en la enseñanza. Con mayor dedicación a la construcción de mejores trayectorias escolares, con prácticas docentes innovadoras, tiempos y espacios de formación. Recuperando “la voz” y las demandas de nuestros estudiantes, equipos docentes, directivos, supervisores con mayor involucramiento de las familias y el acompañamiento plural y diverso de  actores  y organizaciones de la sociedad civil.</w:t>
      </w:r>
    </w:p>
    <w:p w:rsidR="00C50091" w:rsidRPr="005B73A8" w:rsidRDefault="00C50091" w:rsidP="005B73A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5601" w:rsidRDefault="00C50091" w:rsidP="00C5009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FEE">
        <w:rPr>
          <w:rFonts w:ascii="Times New Roman" w:hAnsi="Times New Roman"/>
          <w:b/>
          <w:sz w:val="24"/>
          <w:szCs w:val="24"/>
          <w:u w:val="single"/>
        </w:rPr>
        <w:t>P</w:t>
      </w:r>
      <w:r w:rsidRPr="00490FEE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Pr="00C50091">
        <w:rPr>
          <w:rFonts w:ascii="Times New Roman" w:hAnsi="Times New Roman"/>
          <w:b/>
          <w:bCs/>
          <w:sz w:val="24"/>
          <w:szCs w:val="24"/>
          <w:u w:val="single"/>
        </w:rPr>
        <w:t>opósitos</w:t>
      </w:r>
      <w:r w:rsidR="00490FE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50091" w:rsidRPr="00C50091" w:rsidRDefault="00C50091" w:rsidP="00C5009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5601" w:rsidRPr="009D6481" w:rsidRDefault="007F5601" w:rsidP="00C50091">
      <w:pPr>
        <w:pStyle w:val="Prrafodelista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FEE">
        <w:rPr>
          <w:rFonts w:ascii="Times New Roman" w:hAnsi="Times New Roman"/>
          <w:sz w:val="24"/>
          <w:szCs w:val="24"/>
        </w:rPr>
        <w:t>Pr</w:t>
      </w:r>
      <w:r w:rsidRPr="009D6481">
        <w:rPr>
          <w:rFonts w:ascii="Times New Roman" w:hAnsi="Times New Roman"/>
          <w:sz w:val="24"/>
          <w:szCs w:val="24"/>
        </w:rPr>
        <w:t>ofundizar las líneas de acción educativa en prevención de Adicciones en el Plan Educativo Provincial.</w:t>
      </w:r>
    </w:p>
    <w:p w:rsidR="007F5601" w:rsidRPr="009D6481" w:rsidRDefault="005B73A8" w:rsidP="00C50091">
      <w:pPr>
        <w:pStyle w:val="Prrafodelista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Implementar acciones de f</w:t>
      </w:r>
      <w:r w:rsidR="007F5601" w:rsidRPr="009D6481">
        <w:rPr>
          <w:rFonts w:ascii="Times New Roman" w:hAnsi="Times New Roman"/>
          <w:sz w:val="24"/>
          <w:szCs w:val="24"/>
        </w:rPr>
        <w:t>ormación docente desde una gestión Institucional Estratégica, Situada y Participativa.</w:t>
      </w:r>
    </w:p>
    <w:p w:rsidR="007F5601" w:rsidRPr="009D6481" w:rsidRDefault="007F5601" w:rsidP="00C50091">
      <w:pPr>
        <w:pStyle w:val="Prrafodelista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481">
        <w:rPr>
          <w:rFonts w:ascii="Times New Roman" w:hAnsi="Times New Roman"/>
          <w:sz w:val="24"/>
          <w:szCs w:val="24"/>
        </w:rPr>
        <w:t>Favorecer la implementación de la transversalidad curricular en los diferentes niveles y modalidades educativas jerarquizando las prácticas docentes.</w:t>
      </w:r>
    </w:p>
    <w:p w:rsidR="007F5601" w:rsidRPr="009D6481" w:rsidRDefault="007F5601" w:rsidP="00C50091">
      <w:pPr>
        <w:pStyle w:val="Prrafodelista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481">
        <w:rPr>
          <w:rFonts w:ascii="Times New Roman" w:hAnsi="Times New Roman"/>
          <w:sz w:val="24"/>
          <w:szCs w:val="24"/>
        </w:rPr>
        <w:t>Generar es</w:t>
      </w:r>
      <w:r w:rsidR="00490FEE">
        <w:rPr>
          <w:rFonts w:ascii="Times New Roman" w:hAnsi="Times New Roman"/>
          <w:sz w:val="24"/>
          <w:szCs w:val="24"/>
        </w:rPr>
        <w:t>pacios de encuentro y reflexión</w:t>
      </w:r>
      <w:r w:rsidRPr="009D6481">
        <w:rPr>
          <w:rFonts w:ascii="Times New Roman" w:hAnsi="Times New Roman"/>
          <w:sz w:val="24"/>
          <w:szCs w:val="24"/>
        </w:rPr>
        <w:t xml:space="preserve"> con estudia</w:t>
      </w:r>
      <w:r w:rsidR="00490FEE">
        <w:rPr>
          <w:rFonts w:ascii="Times New Roman" w:hAnsi="Times New Roman"/>
          <w:sz w:val="24"/>
          <w:szCs w:val="24"/>
        </w:rPr>
        <w:t xml:space="preserve">ntes y </w:t>
      </w:r>
      <w:r w:rsidRPr="009D6481">
        <w:rPr>
          <w:rFonts w:ascii="Times New Roman" w:hAnsi="Times New Roman"/>
          <w:sz w:val="24"/>
          <w:szCs w:val="24"/>
        </w:rPr>
        <w:t>centros de estudiantes.</w:t>
      </w:r>
    </w:p>
    <w:p w:rsidR="007F5601" w:rsidRPr="009D6481" w:rsidRDefault="007F5601" w:rsidP="00C50091">
      <w:pPr>
        <w:pStyle w:val="Prrafodelista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481">
        <w:rPr>
          <w:rFonts w:ascii="Times New Roman" w:hAnsi="Times New Roman"/>
          <w:sz w:val="24"/>
          <w:szCs w:val="24"/>
        </w:rPr>
        <w:t xml:space="preserve">Trabajar la responsabilidad ético – político del colectivo docente como agente del Estado y de sus políticas públicas, el abordaje educacional de la niñez/infancia y adolescencia desde un enfoque de derecho, y el análisis pedagógico y organizacional. </w:t>
      </w:r>
    </w:p>
    <w:p w:rsidR="007F5601" w:rsidRPr="009D6481" w:rsidRDefault="007F5601" w:rsidP="00C50091">
      <w:pPr>
        <w:pStyle w:val="Prrafodelista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481">
        <w:rPr>
          <w:rFonts w:ascii="Times New Roman" w:hAnsi="Times New Roman"/>
          <w:sz w:val="24"/>
          <w:szCs w:val="24"/>
        </w:rPr>
        <w:t xml:space="preserve">Consolidar las acciones intersectoriales </w:t>
      </w:r>
      <w:r w:rsidR="00C50091">
        <w:rPr>
          <w:rFonts w:ascii="Times New Roman" w:hAnsi="Times New Roman"/>
          <w:sz w:val="24"/>
          <w:szCs w:val="24"/>
        </w:rPr>
        <w:t>desde un abordaje de la cor</w:t>
      </w:r>
      <w:r w:rsidRPr="009D6481">
        <w:rPr>
          <w:rFonts w:ascii="Times New Roman" w:hAnsi="Times New Roman"/>
          <w:sz w:val="24"/>
          <w:szCs w:val="24"/>
        </w:rPr>
        <w:t xml:space="preserve">responsabilidad. </w:t>
      </w:r>
    </w:p>
    <w:p w:rsidR="00C50091" w:rsidRDefault="00C50091" w:rsidP="00C5009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601" w:rsidRDefault="007F5601" w:rsidP="00C5009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009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L</w:t>
      </w:r>
      <w:r w:rsidR="00C50091" w:rsidRPr="00C50091">
        <w:rPr>
          <w:rFonts w:ascii="Times New Roman" w:hAnsi="Times New Roman"/>
          <w:b/>
          <w:bCs/>
          <w:sz w:val="24"/>
          <w:szCs w:val="24"/>
          <w:u w:val="single"/>
        </w:rPr>
        <w:t>íneas de acción</w:t>
      </w:r>
    </w:p>
    <w:p w:rsidR="00C50091" w:rsidRPr="00C50091" w:rsidRDefault="00C50091" w:rsidP="00C5009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0091" w:rsidRDefault="00C50091" w:rsidP="00C50091">
      <w:pPr>
        <w:pStyle w:val="Prrafodelista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91">
        <w:rPr>
          <w:rFonts w:ascii="Times New Roman" w:hAnsi="Times New Roman" w:cs="Times New Roman"/>
          <w:b/>
          <w:sz w:val="24"/>
          <w:szCs w:val="24"/>
        </w:rPr>
        <w:t>Formación docente:</w:t>
      </w:r>
      <w:r w:rsidRPr="00AF402C">
        <w:rPr>
          <w:rFonts w:ascii="Times New Roman" w:hAnsi="Times New Roman" w:cs="Times New Roman"/>
          <w:sz w:val="24"/>
          <w:szCs w:val="24"/>
        </w:rPr>
        <w:t xml:space="preserve"> a docentes de todos los niveles y modalidades, </w:t>
      </w:r>
      <w:r w:rsidRPr="00AF402C">
        <w:rPr>
          <w:rFonts w:ascii="Times New Roman" w:hAnsi="Times New Roman" w:cs="Times New Roman"/>
          <w:color w:val="000000"/>
          <w:sz w:val="24"/>
          <w:szCs w:val="24"/>
        </w:rPr>
        <w:t>equipos de conducción, supervisores/as y equipos técnicos. Jornadas de capacitación.</w:t>
      </w:r>
    </w:p>
    <w:p w:rsidR="00C50091" w:rsidRPr="00AF402C" w:rsidRDefault="00C50091" w:rsidP="00C50091">
      <w:pPr>
        <w:pStyle w:val="Prrafodelista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91">
        <w:rPr>
          <w:rFonts w:ascii="Times New Roman" w:hAnsi="Times New Roman" w:cs="Times New Roman"/>
          <w:b/>
          <w:sz w:val="24"/>
          <w:szCs w:val="24"/>
        </w:rPr>
        <w:t>Formación estudiantil:</w:t>
      </w:r>
      <w:r w:rsidRPr="00AF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brindando t</w:t>
      </w:r>
      <w:r w:rsidRPr="00AF402C">
        <w:rPr>
          <w:rFonts w:ascii="Times New Roman" w:hAnsi="Times New Roman" w:cs="Times New Roman"/>
          <w:color w:val="000000"/>
          <w:sz w:val="24"/>
          <w:szCs w:val="24"/>
        </w:rPr>
        <w:t>alleres de prevención en escuelas de Educación Secundaria y sus modalidades, y en los institutos de formación docente de Educación Superior.</w:t>
      </w:r>
    </w:p>
    <w:p w:rsidR="00C50091" w:rsidRDefault="00C50091" w:rsidP="00C50091">
      <w:pPr>
        <w:pStyle w:val="Prrafodelista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91">
        <w:rPr>
          <w:rFonts w:ascii="Times New Roman" w:hAnsi="Times New Roman" w:cs="Times New Roman"/>
          <w:b/>
          <w:sz w:val="24"/>
          <w:szCs w:val="24"/>
        </w:rPr>
        <w:t>Asistencias técnicas:</w:t>
      </w:r>
      <w:r w:rsidRPr="00AF402C">
        <w:rPr>
          <w:rFonts w:ascii="Times New Roman" w:hAnsi="Times New Roman" w:cs="Times New Roman"/>
          <w:sz w:val="24"/>
          <w:szCs w:val="24"/>
        </w:rPr>
        <w:t xml:space="preserve"> </w:t>
      </w:r>
      <w:r w:rsidRPr="00AF402C">
        <w:rPr>
          <w:rFonts w:ascii="Times New Roman" w:hAnsi="Times New Roman" w:cs="Times New Roman"/>
          <w:color w:val="000000"/>
          <w:sz w:val="24"/>
          <w:szCs w:val="24"/>
        </w:rPr>
        <w:t>Trabajo en territorio brindando a las instituciones educativas: sensibilización, formación y asesoramiento a su equipo directivo</w:t>
      </w:r>
      <w:r>
        <w:rPr>
          <w:rFonts w:ascii="Times New Roman" w:hAnsi="Times New Roman" w:cs="Times New Roman"/>
          <w:color w:val="000000"/>
          <w:sz w:val="24"/>
          <w:szCs w:val="24"/>
        </w:rPr>
        <w:t>, docentes</w:t>
      </w:r>
      <w:r w:rsidRPr="00AF402C">
        <w:rPr>
          <w:rFonts w:ascii="Times New Roman" w:hAnsi="Times New Roman" w:cs="Times New Roman"/>
          <w:color w:val="000000"/>
          <w:sz w:val="24"/>
          <w:szCs w:val="24"/>
        </w:rPr>
        <w:t xml:space="preserve"> y no docentes.</w:t>
      </w:r>
    </w:p>
    <w:p w:rsidR="00C50091" w:rsidRPr="00AF402C" w:rsidRDefault="00C50091" w:rsidP="00C50091">
      <w:pPr>
        <w:pStyle w:val="Prrafodelista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91">
        <w:rPr>
          <w:rFonts w:ascii="Times New Roman" w:hAnsi="Times New Roman" w:cs="Times New Roman"/>
          <w:b/>
          <w:sz w:val="24"/>
          <w:szCs w:val="24"/>
        </w:rPr>
        <w:t>Trabajo intersectorial:</w:t>
      </w:r>
      <w:r w:rsidRPr="00AF402C">
        <w:rPr>
          <w:rFonts w:ascii="Times New Roman" w:hAnsi="Times New Roman" w:cs="Times New Roman"/>
          <w:sz w:val="24"/>
          <w:szCs w:val="24"/>
        </w:rPr>
        <w:t xml:space="preserve"> </w:t>
      </w:r>
      <w:r w:rsidRPr="00AF402C">
        <w:rPr>
          <w:rFonts w:ascii="Times New Roman" w:hAnsi="Times New Roman" w:cs="Times New Roman"/>
          <w:color w:val="000000"/>
          <w:sz w:val="24"/>
          <w:szCs w:val="24"/>
        </w:rPr>
        <w:t xml:space="preserve">con abordaje intrainstitucional e interinstitucional: trabajo conjunto con los organismos de Salud, </w:t>
      </w:r>
      <w:proofErr w:type="spellStart"/>
      <w:r w:rsidRPr="00AF402C">
        <w:rPr>
          <w:rFonts w:ascii="Times New Roman" w:hAnsi="Times New Roman" w:cs="Times New Roman"/>
          <w:color w:val="000000"/>
          <w:sz w:val="24"/>
          <w:szCs w:val="24"/>
        </w:rPr>
        <w:t>CoPNAF</w:t>
      </w:r>
      <w:proofErr w:type="spellEnd"/>
      <w:r w:rsidRPr="00AF402C">
        <w:rPr>
          <w:rFonts w:ascii="Times New Roman" w:hAnsi="Times New Roman" w:cs="Times New Roman"/>
          <w:color w:val="000000"/>
          <w:sz w:val="24"/>
          <w:szCs w:val="24"/>
        </w:rPr>
        <w:t>, áreas municipales, direcciones y coordinaciones del CGE.</w:t>
      </w:r>
    </w:p>
    <w:p w:rsidR="00C50091" w:rsidRPr="00C50091" w:rsidRDefault="00C50091" w:rsidP="00C50091">
      <w:pPr>
        <w:pStyle w:val="Prrafodelista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091">
        <w:rPr>
          <w:rFonts w:ascii="Times New Roman" w:hAnsi="Times New Roman" w:cs="Times New Roman"/>
          <w:b/>
          <w:sz w:val="24"/>
          <w:szCs w:val="24"/>
        </w:rPr>
        <w:t>Investigación</w:t>
      </w:r>
      <w:r w:rsidRPr="00C50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 elaboración de materiales de apoyo del programa.</w:t>
      </w:r>
    </w:p>
    <w:p w:rsidR="00C50091" w:rsidRPr="00C50091" w:rsidRDefault="00C50091" w:rsidP="00C50091">
      <w:pPr>
        <w:spacing w:after="0" w:line="360" w:lineRule="auto"/>
        <w:contextualSpacing/>
        <w:rPr>
          <w:lang w:val="es-ES"/>
        </w:rPr>
      </w:pPr>
    </w:p>
    <w:p w:rsidR="00DC3AD6" w:rsidRDefault="005B73A8" w:rsidP="00C5009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sz w:val="24"/>
          <w:szCs w:val="24"/>
          <w:u w:val="single"/>
          <w:lang w:val="es-ES"/>
        </w:rPr>
        <w:t>Se a</w:t>
      </w:r>
      <w:r w:rsidR="00DC3AD6" w:rsidRPr="00E91DA4">
        <w:rPr>
          <w:rFonts w:ascii="Times New Roman" w:hAnsi="Times New Roman"/>
          <w:b/>
          <w:sz w:val="24"/>
          <w:szCs w:val="24"/>
          <w:u w:val="single"/>
          <w:lang w:val="es-ES"/>
        </w:rPr>
        <w:t>borda la pr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evención de adicciones desde:</w:t>
      </w:r>
    </w:p>
    <w:p w:rsidR="00C50091" w:rsidRDefault="00C50091" w:rsidP="00C5009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DC3AD6" w:rsidRPr="00E91DA4" w:rsidRDefault="005B73A8" w:rsidP="00C50091">
      <w:pPr>
        <w:pStyle w:val="Prrafodelista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t</w:t>
      </w:r>
      <w:r w:rsidR="00DC3AD6" w:rsidRPr="008E54BF">
        <w:rPr>
          <w:rFonts w:ascii="Times New Roman" w:hAnsi="Times New Roman"/>
          <w:b/>
          <w:sz w:val="24"/>
          <w:szCs w:val="24"/>
        </w:rPr>
        <w:t>ransversalidad:</w:t>
      </w:r>
      <w:r w:rsidR="00DC3AD6">
        <w:rPr>
          <w:rFonts w:ascii="Times New Roman" w:hAnsi="Times New Roman"/>
          <w:sz w:val="24"/>
          <w:szCs w:val="24"/>
        </w:rPr>
        <w:t xml:space="preserve"> propuesta curricular que permite abordar una acción educativa desde una perspectiva humanizadora, desarrollando los aspectos éticos  en la formación de las personas. </w:t>
      </w:r>
    </w:p>
    <w:p w:rsidR="00DC3AD6" w:rsidRPr="00E91DA4" w:rsidRDefault="00DC3AD6" w:rsidP="00C50091">
      <w:pPr>
        <w:pStyle w:val="Prrafodelista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4BF">
        <w:rPr>
          <w:rFonts w:ascii="Times New Roman" w:hAnsi="Times New Roman"/>
          <w:b/>
          <w:sz w:val="24"/>
          <w:szCs w:val="24"/>
        </w:rPr>
        <w:t>Promoción para la salud:</w:t>
      </w:r>
      <w:r>
        <w:rPr>
          <w:rFonts w:ascii="Times New Roman" w:hAnsi="Times New Roman"/>
          <w:sz w:val="24"/>
          <w:szCs w:val="24"/>
        </w:rPr>
        <w:t xml:space="preserve"> promocionar conocimientos, habilidades, necesarios para el cuidado de la salud, individual, familiar y comunitaria</w:t>
      </w:r>
    </w:p>
    <w:p w:rsidR="00DC3AD6" w:rsidRPr="00E91DA4" w:rsidRDefault="00DC3AD6" w:rsidP="00C50091">
      <w:pPr>
        <w:pStyle w:val="Prrafodelista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4BF">
        <w:rPr>
          <w:rFonts w:ascii="Times New Roman" w:hAnsi="Times New Roman"/>
          <w:b/>
          <w:sz w:val="24"/>
          <w:szCs w:val="24"/>
        </w:rPr>
        <w:t>Habilidades para la vida:</w:t>
      </w:r>
      <w:r>
        <w:rPr>
          <w:rFonts w:ascii="Times New Roman" w:hAnsi="Times New Roman"/>
          <w:sz w:val="24"/>
          <w:szCs w:val="24"/>
        </w:rPr>
        <w:t xml:space="preserve"> autoconocimiento, empatía, comunicación asertiva, relaciones interpersonales, toma de decisiones, solución de problemas y conflictos, pensamiento creativo, pensamiento crítico, manejo de emociones y sentimientos, manejo de tensiones y estrés.  </w:t>
      </w:r>
    </w:p>
    <w:p w:rsidR="00DC3AD6" w:rsidRPr="00E91DA4" w:rsidRDefault="00DC3AD6" w:rsidP="00C50091">
      <w:pPr>
        <w:pStyle w:val="Prrafodelista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4BF">
        <w:rPr>
          <w:rFonts w:ascii="Times New Roman" w:hAnsi="Times New Roman"/>
          <w:b/>
          <w:sz w:val="24"/>
          <w:szCs w:val="24"/>
        </w:rPr>
        <w:t>Factores protectores:</w:t>
      </w:r>
      <w:r>
        <w:rPr>
          <w:rFonts w:ascii="Times New Roman" w:hAnsi="Times New Roman"/>
          <w:sz w:val="24"/>
          <w:szCs w:val="24"/>
        </w:rPr>
        <w:t xml:space="preserve"> situaciones, modos de relación o elementos que favorecen el des</w:t>
      </w:r>
      <w:r w:rsidR="00490FEE">
        <w:rPr>
          <w:rFonts w:ascii="Times New Roman" w:hAnsi="Times New Roman"/>
          <w:sz w:val="24"/>
          <w:szCs w:val="24"/>
        </w:rPr>
        <w:t>arrollo integral de la persona.</w:t>
      </w:r>
      <w:r>
        <w:rPr>
          <w:rFonts w:ascii="Times New Roman" w:hAnsi="Times New Roman"/>
          <w:sz w:val="24"/>
          <w:szCs w:val="24"/>
        </w:rPr>
        <w:t xml:space="preserve"> Princip</w:t>
      </w:r>
      <w:r w:rsidR="00490FEE">
        <w:rPr>
          <w:rFonts w:ascii="Times New Roman" w:hAnsi="Times New Roman"/>
          <w:sz w:val="24"/>
          <w:szCs w:val="24"/>
        </w:rPr>
        <w:t>ios que actúan como posibilidad</w:t>
      </w:r>
      <w:r>
        <w:rPr>
          <w:rFonts w:ascii="Times New Roman" w:hAnsi="Times New Roman"/>
          <w:sz w:val="24"/>
          <w:szCs w:val="24"/>
        </w:rPr>
        <w:t xml:space="preserve"> positiva frente a la problemática del consumo. </w:t>
      </w:r>
      <w:proofErr w:type="spellStart"/>
      <w:r>
        <w:rPr>
          <w:rFonts w:ascii="Times New Roman" w:hAnsi="Times New Roman"/>
          <w:sz w:val="24"/>
          <w:szCs w:val="24"/>
        </w:rPr>
        <w:t>Ej</w:t>
      </w:r>
      <w:proofErr w:type="spellEnd"/>
      <w:r>
        <w:rPr>
          <w:rFonts w:ascii="Times New Roman" w:hAnsi="Times New Roman"/>
          <w:sz w:val="24"/>
          <w:szCs w:val="24"/>
        </w:rPr>
        <w:t xml:space="preserve">: vínculos </w:t>
      </w:r>
      <w:proofErr w:type="spellStart"/>
      <w:r>
        <w:rPr>
          <w:rFonts w:ascii="Times New Roman" w:hAnsi="Times New Roman"/>
          <w:sz w:val="24"/>
          <w:szCs w:val="24"/>
        </w:rPr>
        <w:t>humanizantes</w:t>
      </w:r>
      <w:proofErr w:type="spellEnd"/>
      <w:r>
        <w:rPr>
          <w:rFonts w:ascii="Times New Roman" w:hAnsi="Times New Roman"/>
          <w:sz w:val="24"/>
          <w:szCs w:val="24"/>
        </w:rPr>
        <w:t xml:space="preserve"> al interior de la familia,  lazos  significativos con el grupo de pares, pertenecía y participación escolar.  </w:t>
      </w:r>
      <w:r w:rsidRPr="00FE4895">
        <w:rPr>
          <w:rFonts w:eastAsia="Calibri" w:cs="Times New Roman"/>
          <w:noProof/>
          <w:lang w:eastAsia="es-ES"/>
        </w:rPr>
        <w:t xml:space="preserve"> </w:t>
      </w:r>
    </w:p>
    <w:p w:rsidR="00DC3AD6" w:rsidRPr="007E08B3" w:rsidRDefault="00DC3AD6" w:rsidP="00C500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4BF">
        <w:rPr>
          <w:rFonts w:ascii="Times New Roman" w:hAnsi="Times New Roman" w:cs="Times New Roman"/>
          <w:b/>
          <w:sz w:val="24"/>
          <w:szCs w:val="24"/>
        </w:rPr>
        <w:t>Cultura del cuidado:</w:t>
      </w:r>
      <w:r w:rsidRPr="007E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1A1A1A"/>
          <w:sz w:val="24"/>
          <w:szCs w:val="24"/>
        </w:rPr>
        <w:t>e</w:t>
      </w:r>
      <w:r w:rsidRPr="007E08B3">
        <w:rPr>
          <w:rFonts w:ascii="Times New Roman" w:eastAsiaTheme="minorHAnsi" w:hAnsi="Times New Roman" w:cs="Times New Roman"/>
          <w:color w:val="1A1A1A"/>
          <w:sz w:val="24"/>
          <w:szCs w:val="24"/>
        </w:rPr>
        <w:t>n la escuela, es posible profundizar un  acompañamiento de los estudiantes por medio de una mirada adult</w:t>
      </w:r>
      <w:r w:rsidR="00490FEE">
        <w:rPr>
          <w:rFonts w:ascii="Times New Roman" w:eastAsiaTheme="minorHAnsi" w:hAnsi="Times New Roman" w:cs="Times New Roman"/>
          <w:color w:val="1A1A1A"/>
          <w:sz w:val="24"/>
          <w:szCs w:val="24"/>
        </w:rPr>
        <w:t>a de reconocimiento, amabilidad</w:t>
      </w:r>
      <w:r w:rsidRPr="007E08B3">
        <w:rPr>
          <w:rFonts w:ascii="Times New Roman" w:eastAsiaTheme="minorHAnsi" w:hAnsi="Times New Roman" w:cs="Times New Roman"/>
          <w:color w:val="1A1A1A"/>
          <w:sz w:val="24"/>
          <w:szCs w:val="24"/>
        </w:rPr>
        <w:t xml:space="preserve"> y de ternura. Así se potencia la construcción de vínculos de </w:t>
      </w:r>
      <w:r w:rsidRPr="007E08B3">
        <w:rPr>
          <w:rFonts w:ascii="Times New Roman" w:eastAsiaTheme="minorHAnsi" w:hAnsi="Times New Roman" w:cs="Times New Roman"/>
          <w:color w:val="1A1A1A"/>
          <w:sz w:val="24"/>
          <w:szCs w:val="24"/>
        </w:rPr>
        <w:lastRenderedPageBreak/>
        <w:t xml:space="preserve">confianza y afecto que enriquecen el clima de encuentro, fortaleciendo las tramas de cuidado que a su vez generan mayor confianza, pertenencia y solidaridad. </w:t>
      </w:r>
    </w:p>
    <w:p w:rsidR="00DC3AD6" w:rsidRPr="00896395" w:rsidRDefault="00DC3AD6" w:rsidP="00C500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</w:pPr>
      <w:r w:rsidRPr="00D040A0">
        <w:rPr>
          <w:rFonts w:ascii="Times New Roman" w:hAnsi="Times New Roman" w:cs="Times New Roman"/>
          <w:b/>
          <w:sz w:val="24"/>
          <w:szCs w:val="24"/>
        </w:rPr>
        <w:t>Tríada escuela- familia- comunidad:</w:t>
      </w:r>
      <w:r w:rsidRPr="00D040A0">
        <w:rPr>
          <w:rFonts w:ascii="Times New Roman" w:hAnsi="Times New Roman" w:cs="Times New Roman"/>
          <w:sz w:val="24"/>
          <w:szCs w:val="24"/>
        </w:rPr>
        <w:t xml:space="preserve"> la escuela sola no puede, y es necesario un trabajo articulado con su contexto (clubes, escuelas, vecinos,  etc.)  y con las familias, que sin duda influye en la conformación de las identidades y actitudes para la vida, </w:t>
      </w:r>
      <w:r w:rsidRPr="005B73A8">
        <w:rPr>
          <w:rFonts w:ascii="Times New Roman" w:hAnsi="Times New Roman" w:cs="Times New Roman"/>
          <w:sz w:val="24"/>
          <w:szCs w:val="24"/>
        </w:rPr>
        <w:t>pero no las determina</w:t>
      </w:r>
      <w:r w:rsidRPr="00D040A0">
        <w:rPr>
          <w:rFonts w:ascii="Times New Roman" w:hAnsi="Times New Roman" w:cs="Times New Roman"/>
          <w:sz w:val="24"/>
          <w:szCs w:val="24"/>
        </w:rPr>
        <w:t>. Es fundamental su acompañamiento en el proceso escolar desde el fortalecimiento de logros, dándoles seguridad, apoyá</w:t>
      </w:r>
      <w:r w:rsidR="00490FEE">
        <w:rPr>
          <w:rFonts w:ascii="Times New Roman" w:hAnsi="Times New Roman" w:cs="Times New Roman"/>
          <w:sz w:val="24"/>
          <w:szCs w:val="24"/>
        </w:rPr>
        <w:t xml:space="preserve">ndolos, compartiendo tiempos. </w:t>
      </w:r>
      <w:r w:rsidRPr="00D040A0">
        <w:rPr>
          <w:rFonts w:ascii="Times New Roman" w:hAnsi="Times New Roman" w:cs="Times New Roman"/>
          <w:sz w:val="24"/>
          <w:szCs w:val="24"/>
        </w:rPr>
        <w:t>Lo decisivo en las personas es encontrar vínculos positivos, espacios de diálogos, afecto y acompañamiento.</w:t>
      </w:r>
    </w:p>
    <w:p w:rsidR="00896395" w:rsidRDefault="00896395" w:rsidP="00896395">
      <w:pPr>
        <w:pStyle w:val="Prrafodelista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95" w:rsidRDefault="00896395" w:rsidP="0089639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C37D6">
        <w:rPr>
          <w:rFonts w:ascii="Times New Roman" w:hAnsi="Times New Roman"/>
          <w:b/>
          <w:sz w:val="24"/>
          <w:szCs w:val="24"/>
          <w:u w:val="single"/>
        </w:rPr>
        <w:t>Conceptos claves</w:t>
      </w:r>
      <w:r w:rsidR="00DE1C5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E1C51" w:rsidRDefault="00DE1C51" w:rsidP="0089639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96395" w:rsidRPr="002519CC" w:rsidRDefault="00896395" w:rsidP="00896395">
      <w:pPr>
        <w:pStyle w:val="Prrafodelista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7D6">
        <w:rPr>
          <w:rFonts w:ascii="Times New Roman" w:hAnsi="Times New Roman" w:cs="Times New Roman"/>
          <w:b/>
          <w:sz w:val="24"/>
          <w:szCs w:val="24"/>
        </w:rPr>
        <w:t>“Educación preventiva”</w:t>
      </w:r>
      <w:r w:rsidRPr="008C020C">
        <w:rPr>
          <w:rFonts w:ascii="Times New Roman" w:hAnsi="Times New Roman" w:cs="Times New Roman"/>
          <w:sz w:val="24"/>
          <w:szCs w:val="24"/>
        </w:rPr>
        <w:t xml:space="preserve"> es el conjunto de </w:t>
      </w:r>
      <w:r w:rsidRPr="008C020C">
        <w:rPr>
          <w:rFonts w:ascii="Times New Roman" w:hAnsi="Times New Roman" w:cs="Times New Roman"/>
          <w:bCs/>
          <w:sz w:val="24"/>
          <w:szCs w:val="24"/>
        </w:rPr>
        <w:t>intervenciones en contexto y planificadas</w:t>
      </w:r>
      <w:r w:rsidRPr="008C020C">
        <w:rPr>
          <w:rFonts w:ascii="Times New Roman" w:hAnsi="Times New Roman" w:cs="Times New Roman"/>
          <w:sz w:val="24"/>
          <w:szCs w:val="24"/>
        </w:rPr>
        <w:t xml:space="preserve"> tendientes a lograr </w:t>
      </w:r>
      <w:r w:rsidRPr="008C020C">
        <w:rPr>
          <w:rFonts w:ascii="Times New Roman" w:hAnsi="Times New Roman" w:cs="Times New Roman"/>
          <w:b/>
          <w:sz w:val="24"/>
          <w:szCs w:val="24"/>
        </w:rPr>
        <w:t>aprendizajes significativos</w:t>
      </w:r>
      <w:r w:rsidRPr="008C020C">
        <w:rPr>
          <w:rFonts w:ascii="Times New Roman" w:hAnsi="Times New Roman" w:cs="Times New Roman"/>
          <w:sz w:val="24"/>
          <w:szCs w:val="24"/>
        </w:rPr>
        <w:t xml:space="preserve"> que generen </w:t>
      </w:r>
      <w:r w:rsidRPr="008C020C">
        <w:rPr>
          <w:rFonts w:ascii="Times New Roman" w:hAnsi="Times New Roman" w:cs="Times New Roman"/>
          <w:b/>
          <w:sz w:val="24"/>
          <w:szCs w:val="24"/>
        </w:rPr>
        <w:t>hábitos de vida saludables</w:t>
      </w:r>
      <w:r w:rsidRPr="008C020C">
        <w:rPr>
          <w:rFonts w:ascii="Times New Roman" w:hAnsi="Times New Roman" w:cs="Times New Roman"/>
          <w:sz w:val="24"/>
          <w:szCs w:val="24"/>
        </w:rPr>
        <w:t xml:space="preserve">. </w:t>
      </w:r>
      <w:r w:rsidRPr="002519CC">
        <w:rPr>
          <w:rFonts w:ascii="Times New Roman" w:hAnsi="Times New Roman" w:cs="Times New Roman"/>
          <w:sz w:val="24"/>
          <w:szCs w:val="24"/>
          <w:lang w:val="es-MX"/>
        </w:rPr>
        <w:t xml:space="preserve">Propone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una nueva mirada</w:t>
      </w:r>
      <w:r w:rsidRPr="002519C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519CC">
        <w:rPr>
          <w:rFonts w:ascii="Times New Roman" w:hAnsi="Times New Roman" w:cs="Times New Roman"/>
          <w:b/>
          <w:bCs/>
          <w:sz w:val="24"/>
          <w:szCs w:val="24"/>
          <w:lang w:val="es-MX"/>
        </w:rPr>
        <w:t>centrada en el sujeto</w:t>
      </w:r>
      <w:r w:rsidRPr="002519C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que aprende y las </w:t>
      </w:r>
      <w:r w:rsidRPr="002519CC">
        <w:rPr>
          <w:rFonts w:ascii="Times New Roman" w:hAnsi="Times New Roman" w:cs="Times New Roman"/>
          <w:b/>
          <w:bCs/>
          <w:sz w:val="24"/>
          <w:szCs w:val="24"/>
          <w:lang w:val="es-MX"/>
        </w:rPr>
        <w:t>habilidades para la vida</w:t>
      </w:r>
      <w:r w:rsidRPr="002519CC"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6395" w:rsidRPr="009C37D6" w:rsidRDefault="00896395" w:rsidP="00896395">
      <w:pPr>
        <w:pStyle w:val="Prrafodelista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C37D6">
        <w:rPr>
          <w:rFonts w:ascii="Times New Roman" w:hAnsi="Times New Roman" w:cs="Times New Roman"/>
          <w:b/>
          <w:sz w:val="24"/>
          <w:szCs w:val="24"/>
        </w:rPr>
        <w:t>onsumo problemático</w:t>
      </w:r>
    </w:p>
    <w:p w:rsidR="00896395" w:rsidRPr="00DD3829" w:rsidRDefault="00896395" w:rsidP="0089639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829"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 xml:space="preserve">aquel </w:t>
      </w:r>
      <w:r w:rsidRPr="00DD3829">
        <w:rPr>
          <w:rFonts w:ascii="Times New Roman" w:hAnsi="Times New Roman"/>
          <w:sz w:val="24"/>
          <w:szCs w:val="24"/>
        </w:rPr>
        <w:t xml:space="preserve">que atenta contra la </w:t>
      </w:r>
      <w:r w:rsidRPr="00DD3829">
        <w:rPr>
          <w:rFonts w:ascii="Times New Roman" w:hAnsi="Times New Roman"/>
          <w:b/>
          <w:bCs/>
          <w:sz w:val="24"/>
          <w:szCs w:val="24"/>
        </w:rPr>
        <w:t>salud</w:t>
      </w:r>
      <w:r w:rsidRPr="00DD3829">
        <w:rPr>
          <w:rFonts w:ascii="Times New Roman" w:hAnsi="Times New Roman"/>
          <w:sz w:val="24"/>
          <w:szCs w:val="24"/>
        </w:rPr>
        <w:t xml:space="preserve"> y la </w:t>
      </w:r>
      <w:r w:rsidRPr="00DD3829">
        <w:rPr>
          <w:rFonts w:ascii="Times New Roman" w:hAnsi="Times New Roman"/>
          <w:b/>
          <w:bCs/>
          <w:sz w:val="24"/>
          <w:szCs w:val="24"/>
        </w:rPr>
        <w:t>construcción de proyectos de vida</w:t>
      </w:r>
      <w:r w:rsidRPr="00DD3829">
        <w:rPr>
          <w:rFonts w:ascii="Times New Roman" w:hAnsi="Times New Roman"/>
          <w:sz w:val="24"/>
          <w:szCs w:val="24"/>
        </w:rPr>
        <w:t xml:space="preserve"> de las personas.</w:t>
      </w:r>
    </w:p>
    <w:p w:rsidR="00896395" w:rsidRDefault="00896395" w:rsidP="0089639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829">
        <w:rPr>
          <w:rFonts w:ascii="Times New Roman" w:hAnsi="Times New Roman"/>
          <w:sz w:val="24"/>
          <w:szCs w:val="24"/>
        </w:rPr>
        <w:t xml:space="preserve">La posibilidad de que el consumo de una sustancia </w:t>
      </w:r>
      <w:r>
        <w:rPr>
          <w:rFonts w:ascii="Times New Roman" w:hAnsi="Times New Roman"/>
          <w:sz w:val="24"/>
          <w:szCs w:val="24"/>
        </w:rPr>
        <w:t xml:space="preserve">u objeto </w:t>
      </w:r>
      <w:r w:rsidRPr="00DD3829">
        <w:rPr>
          <w:rFonts w:ascii="Times New Roman" w:hAnsi="Times New Roman"/>
          <w:sz w:val="24"/>
          <w:szCs w:val="24"/>
        </w:rPr>
        <w:t xml:space="preserve">genere mayor o menor problema, se haya relacionado con el </w:t>
      </w:r>
      <w:r w:rsidRPr="00DD3829">
        <w:rPr>
          <w:rFonts w:ascii="Times New Roman" w:hAnsi="Times New Roman"/>
          <w:b/>
          <w:bCs/>
          <w:sz w:val="24"/>
          <w:szCs w:val="24"/>
        </w:rPr>
        <w:t>vínculo</w:t>
      </w:r>
      <w:r w:rsidRPr="00DD3829">
        <w:rPr>
          <w:rFonts w:ascii="Times New Roman" w:hAnsi="Times New Roman"/>
          <w:sz w:val="24"/>
          <w:szCs w:val="24"/>
        </w:rPr>
        <w:t xml:space="preserve"> que la perso</w:t>
      </w:r>
      <w:r>
        <w:rPr>
          <w:rFonts w:ascii="Times New Roman" w:hAnsi="Times New Roman"/>
          <w:sz w:val="24"/>
          <w:szCs w:val="24"/>
        </w:rPr>
        <w:t>na establece con la misma en un determinado</w:t>
      </w:r>
      <w:r w:rsidRPr="00DD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contexto, situación y momento vital de la persona.</w:t>
      </w: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Pr="00DD3829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Pr="00FB14D3" w:rsidRDefault="00896395" w:rsidP="00896395">
      <w:pPr>
        <w:pStyle w:val="Prrafodelista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Factores que intervienen en el consumo problemático</w:t>
      </w:r>
    </w:p>
    <w:p w:rsidR="00896395" w:rsidRDefault="00896395" w:rsidP="00896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D32"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2494008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01" t="13216" r="3796" b="3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95" w:rsidRDefault="00896395" w:rsidP="00896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7D6">
        <w:rPr>
          <w:rFonts w:ascii="Times New Roman" w:hAnsi="Times New Roman" w:cs="Times New Roman"/>
          <w:b/>
          <w:sz w:val="24"/>
          <w:szCs w:val="24"/>
        </w:rPr>
        <w:t>Niveles de consumo</w:t>
      </w: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Existen diferentes niveles de consumo de acuerdo al </w:t>
      </w:r>
      <w:r w:rsidRPr="00567A7B">
        <w:rPr>
          <w:rFonts w:ascii="Times New Roman" w:hAnsi="Times New Roman" w:cs="Times New Roman"/>
          <w:b/>
          <w:sz w:val="24"/>
          <w:szCs w:val="24"/>
          <w:u w:val="single"/>
        </w:rPr>
        <w:t>vínculo</w:t>
      </w:r>
      <w:r>
        <w:rPr>
          <w:rFonts w:ascii="Times New Roman" w:hAnsi="Times New Roman" w:cs="Times New Roman"/>
          <w:b/>
          <w:sz w:val="24"/>
          <w:szCs w:val="24"/>
        </w:rPr>
        <w:t xml:space="preserve"> que la persona tiene con la sustancia:</w:t>
      </w:r>
    </w:p>
    <w:p w:rsidR="00896395" w:rsidRPr="009C37D6" w:rsidRDefault="00896395" w:rsidP="00896395">
      <w:pPr>
        <w:pStyle w:val="Prrafode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7D6">
        <w:rPr>
          <w:rFonts w:ascii="Times New Roman" w:hAnsi="Times New Roman"/>
          <w:bCs/>
          <w:sz w:val="24"/>
          <w:szCs w:val="24"/>
        </w:rPr>
        <w:t xml:space="preserve">Uso: </w:t>
      </w:r>
      <w:r w:rsidRPr="009C37D6">
        <w:rPr>
          <w:rFonts w:ascii="Times New Roman" w:hAnsi="Times New Roman"/>
          <w:sz w:val="24"/>
          <w:szCs w:val="24"/>
        </w:rPr>
        <w:t>esporádico y ocasional.</w:t>
      </w:r>
      <w:r w:rsidRPr="009C37D6">
        <w:rPr>
          <w:rFonts w:ascii="Times New Roman" w:hAnsi="Times New Roman"/>
          <w:sz w:val="24"/>
          <w:szCs w:val="24"/>
        </w:rPr>
        <w:tab/>
        <w:t xml:space="preserve">Puede ser problemático, como en el caso de no considerar los efectos secundarios de lo ingerido (Ej.: Dificultad para manejar luego de consumir algunos medicamentos o bebidas). </w:t>
      </w:r>
    </w:p>
    <w:p w:rsidR="00896395" w:rsidRPr="009C37D6" w:rsidRDefault="00896395" w:rsidP="00896395">
      <w:pPr>
        <w:pStyle w:val="Prrafode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6">
        <w:rPr>
          <w:rFonts w:ascii="Times New Roman" w:hAnsi="Times New Roman"/>
          <w:bCs/>
          <w:sz w:val="24"/>
          <w:szCs w:val="24"/>
        </w:rPr>
        <w:t>Abuso:</w:t>
      </w:r>
      <w:r w:rsidRPr="009C37D6">
        <w:rPr>
          <w:rFonts w:ascii="Times New Roman" w:hAnsi="Times New Roman"/>
          <w:sz w:val="24"/>
          <w:szCs w:val="24"/>
        </w:rPr>
        <w:t xml:space="preserve"> consumo en exceso y con cierta periodicidad. Intencionalidad del vínculo, se consume ‘para lograr algo’, por ejemplo reducir la fatiga, mejorar el ánimo, divertirse, animarse. </w:t>
      </w:r>
    </w:p>
    <w:p w:rsidR="00896395" w:rsidRDefault="00896395" w:rsidP="00896395">
      <w:pPr>
        <w:pStyle w:val="Prrafode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6">
        <w:rPr>
          <w:rFonts w:ascii="Times New Roman" w:hAnsi="Times New Roman"/>
          <w:bCs/>
          <w:sz w:val="24"/>
          <w:szCs w:val="24"/>
        </w:rPr>
        <w:t>Dependencia:</w:t>
      </w:r>
      <w:r w:rsidRPr="009C37D6">
        <w:rPr>
          <w:rFonts w:ascii="Times New Roman" w:hAnsi="Times New Roman"/>
          <w:sz w:val="24"/>
          <w:szCs w:val="24"/>
        </w:rPr>
        <w:t xml:space="preserve"> (Estado psíquico y físico provocado por) consumo continuo y reiterado en el tiempo de una sustancia o una práctica. Deseo compulsivo de consumir la sustancia. Debilitamiento y/o de vínculos familiares, sociales, laborales.  </w:t>
      </w:r>
    </w:p>
    <w:p w:rsidR="00896395" w:rsidRPr="00D12553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6395" w:rsidRPr="008E54BF" w:rsidRDefault="00896395" w:rsidP="0089639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color w:val="1A1A1A"/>
          <w:sz w:val="24"/>
          <w:szCs w:val="24"/>
        </w:rPr>
      </w:pPr>
      <w:r w:rsidRPr="008E54BF">
        <w:rPr>
          <w:rFonts w:ascii="Times New Roman" w:hAnsi="Times New Roman" w:cs="Times New Roman"/>
          <w:b/>
          <w:i/>
          <w:color w:val="1A1A1A"/>
          <w:sz w:val="24"/>
          <w:szCs w:val="24"/>
        </w:rPr>
        <w:t>“Los adultos capaces de escuchar, de alojar, de construir relaciones basadas en el respeto y la confianza a través de una escucha activa, se constituyen en agentes de prevención, promotores de participación y dadores de sentidos”</w:t>
      </w:r>
    </w:p>
    <w:p w:rsidR="00896395" w:rsidRDefault="00896395" w:rsidP="00896395">
      <w:pPr>
        <w:pStyle w:val="Prrafodelista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896395" w:rsidRDefault="00896395" w:rsidP="00896395">
      <w:pPr>
        <w:pStyle w:val="Prrafodelista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95" w:rsidRDefault="00896395" w:rsidP="005B73A8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395" w:rsidRDefault="00896395" w:rsidP="005B73A8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3A8" w:rsidRPr="005B73A8" w:rsidRDefault="005B73A8" w:rsidP="005B73A8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3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Lineamientos de trabajo para 2018</w:t>
      </w:r>
    </w:p>
    <w:p w:rsidR="005B73A8" w:rsidRPr="005B73A8" w:rsidRDefault="005B73A8" w:rsidP="005B73A8">
      <w:pPr>
        <w:pStyle w:val="Prrafodelista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5B73A8" w:rsidRPr="005B73A8" w:rsidRDefault="005B73A8" w:rsidP="005B73A8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3A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Fortalecer</w:t>
      </w:r>
      <w:r w:rsidRPr="005B73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trabajo en red con los equipos de la Coordinación de Políticas Transversales.</w:t>
      </w:r>
    </w:p>
    <w:p w:rsidR="005B73A8" w:rsidRPr="005B73A8" w:rsidRDefault="005B73A8" w:rsidP="005B73A8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3A8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Sostener las líneas de trabajo del equipo hacia el interior de las diferentes áreas, niveles, coordinaciones y direcciones del Consejo General de Educación, y reforzar los lazos construidos con los organismos del Estado y sociedad civil extra muros. </w:t>
      </w:r>
    </w:p>
    <w:p w:rsidR="005B73A8" w:rsidRPr="005B73A8" w:rsidRDefault="005B73A8" w:rsidP="005B73A8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3A8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Socializar el material teórico metodológico de la SEDRONAR, como así tambi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én de producción del programa: guías, trípticos, l</w:t>
      </w:r>
      <w:r w:rsidRPr="005B73A8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ineamientos curriculares federales, material bibliográfico y audiovisual. </w:t>
      </w:r>
    </w:p>
    <w:p w:rsidR="005B73A8" w:rsidRPr="005B73A8" w:rsidRDefault="005B73A8" w:rsidP="005B73A8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73A8">
        <w:rPr>
          <w:rFonts w:ascii="Times New Roman" w:hAnsi="Times New Roman" w:cs="Times New Roman"/>
          <w:sz w:val="24"/>
          <w:szCs w:val="24"/>
        </w:rPr>
        <w:t xml:space="preserve">Potenciar el trabajo en territorio: las asistencias técnicas y jornadas de formación docente, pensadas como espacios de formación y orientación a escuelas de toda la provincia de todos los niveles y modalidades. </w:t>
      </w:r>
    </w:p>
    <w:p w:rsidR="005B73A8" w:rsidRPr="005B73A8" w:rsidRDefault="005B73A8" w:rsidP="005B73A8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73A8">
        <w:rPr>
          <w:rFonts w:ascii="Times New Roman" w:hAnsi="Times New Roman" w:cs="Times New Roman"/>
          <w:sz w:val="24"/>
          <w:szCs w:val="24"/>
        </w:rPr>
        <w:t xml:space="preserve">Propiciar un trabajo articulado- intersectorial en la construcción de espacios preventivos, de reflexión y participación con los estudiantes. </w:t>
      </w:r>
    </w:p>
    <w:p w:rsidR="005B73A8" w:rsidRPr="005B73A8" w:rsidRDefault="005B73A8" w:rsidP="005B73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1640" w:rsidRDefault="00BA1640" w:rsidP="00896395">
      <w:pPr>
        <w:spacing w:after="0" w:line="360" w:lineRule="auto"/>
        <w:ind w:left="709" w:firstLine="993"/>
        <w:contextualSpacing/>
        <w:rPr>
          <w:rFonts w:ascii="Times New Roman" w:hAnsi="Times New Roman"/>
        </w:rPr>
      </w:pPr>
    </w:p>
    <w:p w:rsidR="00896395" w:rsidRDefault="00896395" w:rsidP="00896395">
      <w:pPr>
        <w:spacing w:after="0" w:line="360" w:lineRule="auto"/>
        <w:ind w:left="709" w:firstLine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Recursos elaborados por el P</w:t>
      </w:r>
      <w:r w:rsidRPr="009C37D6">
        <w:rPr>
          <w:rFonts w:ascii="Times New Roman" w:hAnsi="Times New Roman"/>
          <w:b/>
          <w:sz w:val="24"/>
          <w:szCs w:val="24"/>
          <w:u w:val="single"/>
        </w:rPr>
        <w:t>rograma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7E08B3">
        <w:rPr>
          <w:rFonts w:ascii="Times New Roman" w:hAnsi="Times New Roman"/>
          <w:b/>
          <w:sz w:val="24"/>
          <w:szCs w:val="24"/>
        </w:rPr>
        <w:t xml:space="preserve"> </w:t>
      </w:r>
    </w:p>
    <w:p w:rsidR="00896395" w:rsidRDefault="00896395" w:rsidP="0089639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3015F">
        <w:rPr>
          <w:rFonts w:ascii="Times New Roman" w:hAnsi="Times New Roman"/>
          <w:sz w:val="24"/>
          <w:szCs w:val="24"/>
        </w:rPr>
        <w:t>Herramientas para el docente elaboradas a partir de la  reflexión y sistematización de las prácticas educativas, las necesidades y demandas del contexto escolar.</w:t>
      </w:r>
    </w:p>
    <w:p w:rsidR="00896395" w:rsidRDefault="00896395" w:rsidP="00896395">
      <w:pPr>
        <w:pStyle w:val="Prrafodelista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4C22">
        <w:rPr>
          <w:rFonts w:ascii="Times New Roman" w:hAnsi="Times New Roman"/>
          <w:sz w:val="24"/>
          <w:szCs w:val="24"/>
        </w:rPr>
        <w:t>Trípticos informativos</w:t>
      </w:r>
      <w:r>
        <w:rPr>
          <w:rFonts w:ascii="Times New Roman" w:hAnsi="Times New Roman"/>
          <w:sz w:val="24"/>
          <w:szCs w:val="24"/>
        </w:rPr>
        <w:t xml:space="preserve"> (2017)</w:t>
      </w:r>
    </w:p>
    <w:p w:rsidR="00896395" w:rsidRPr="000E1ABF" w:rsidRDefault="00896395" w:rsidP="00896395">
      <w:pPr>
        <w:pStyle w:val="Prrafodelista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Guía de actuación en sit</w:t>
      </w:r>
      <w:r>
        <w:rPr>
          <w:rFonts w:ascii="Times New Roman" w:hAnsi="Times New Roman"/>
          <w:sz w:val="24"/>
          <w:szCs w:val="24"/>
        </w:rPr>
        <w:t>uaciones de presunción de consumo en el ámbito escolar (2016).</w:t>
      </w:r>
      <w:r w:rsidRPr="000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Impresiones de guía Resolución Nº 0920/17 CGE.</w:t>
      </w:r>
    </w:p>
    <w:p w:rsidR="00896395" w:rsidRDefault="00896395" w:rsidP="00896395">
      <w:pPr>
        <w:pStyle w:val="Prrafodelista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Video “La escuela: nuestro lugar”</w:t>
      </w:r>
      <w:r>
        <w:rPr>
          <w:rFonts w:ascii="Times New Roman" w:hAnsi="Times New Roman"/>
          <w:sz w:val="24"/>
          <w:szCs w:val="24"/>
        </w:rPr>
        <w:t xml:space="preserve"> (2015).</w:t>
      </w:r>
    </w:p>
    <w:p w:rsidR="00896395" w:rsidRPr="00F00144" w:rsidRDefault="00896395" w:rsidP="00896395">
      <w:pPr>
        <w:pStyle w:val="Prrafodelista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Documento de apoyo para el debate y la reflexión “Marco orientativo”</w:t>
      </w:r>
      <w:r>
        <w:rPr>
          <w:rFonts w:ascii="Times New Roman" w:hAnsi="Times New Roman"/>
          <w:sz w:val="24"/>
          <w:szCs w:val="24"/>
        </w:rPr>
        <w:t xml:space="preserve"> (2009).</w:t>
      </w:r>
    </w:p>
    <w:p w:rsidR="00896395" w:rsidRPr="00F00144" w:rsidRDefault="00896395" w:rsidP="00896395">
      <w:pPr>
        <w:pStyle w:val="Prrafodelista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96395" w:rsidRPr="00F00144" w:rsidRDefault="00896395" w:rsidP="0089639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C37D6">
        <w:rPr>
          <w:rFonts w:ascii="Times New Roman" w:hAnsi="Times New Roman"/>
          <w:b/>
          <w:sz w:val="24"/>
          <w:szCs w:val="24"/>
          <w:u w:val="single"/>
        </w:rPr>
        <w:t>Recursos para el abordaje de la prevención de adicciones</w:t>
      </w:r>
    </w:p>
    <w:p w:rsidR="00896395" w:rsidRPr="000D7853" w:rsidRDefault="00896395" w:rsidP="00896395">
      <w:pPr>
        <w:pStyle w:val="Prrafodelista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Prevención del consumo problemático de drogas, un en</w:t>
      </w:r>
      <w:r>
        <w:rPr>
          <w:rFonts w:ascii="Times New Roman" w:hAnsi="Times New Roman"/>
          <w:sz w:val="24"/>
          <w:szCs w:val="24"/>
        </w:rPr>
        <w:t xml:space="preserve">foque educativo. Graciela </w:t>
      </w:r>
      <w:proofErr w:type="spellStart"/>
      <w:r>
        <w:rPr>
          <w:rFonts w:ascii="Times New Roman" w:hAnsi="Times New Roman"/>
          <w:sz w:val="24"/>
          <w:szCs w:val="24"/>
        </w:rPr>
        <w:t>Touzé</w:t>
      </w:r>
      <w:proofErr w:type="spellEnd"/>
      <w:r>
        <w:rPr>
          <w:rFonts w:ascii="Times New Roman" w:hAnsi="Times New Roman"/>
          <w:sz w:val="24"/>
          <w:szCs w:val="24"/>
        </w:rPr>
        <w:t xml:space="preserve"> (2010).</w:t>
      </w:r>
    </w:p>
    <w:p w:rsidR="00896395" w:rsidRPr="000D7853" w:rsidRDefault="00896395" w:rsidP="00896395">
      <w:pPr>
        <w:pStyle w:val="Prrafodelista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Quiero ser – SEDRONAR.</w:t>
      </w:r>
      <w:r>
        <w:rPr>
          <w:rFonts w:ascii="Times New Roman" w:hAnsi="Times New Roman"/>
          <w:sz w:val="24"/>
          <w:szCs w:val="24"/>
        </w:rPr>
        <w:t>: programa de llegada territorial a escuelas de educación primaria, con material de apoyo áulico para docentes y estudiantes (2014).</w:t>
      </w:r>
      <w:r w:rsidRPr="000D7853">
        <w:rPr>
          <w:rFonts w:ascii="Times New Roman" w:hAnsi="Times New Roman"/>
          <w:sz w:val="24"/>
          <w:szCs w:val="24"/>
        </w:rPr>
        <w:t xml:space="preserve"> </w:t>
      </w:r>
    </w:p>
    <w:p w:rsidR="00896395" w:rsidRPr="007E08B3" w:rsidRDefault="00896395" w:rsidP="00896395">
      <w:pPr>
        <w:pStyle w:val="Prrafodelista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Colección “Consumo cuidado” – Canal Encuentro y Minis</w:t>
      </w:r>
      <w:r>
        <w:rPr>
          <w:rFonts w:ascii="Times New Roman" w:hAnsi="Times New Roman"/>
          <w:sz w:val="24"/>
          <w:szCs w:val="24"/>
        </w:rPr>
        <w:t>terio de Educación de la Nación</w:t>
      </w:r>
      <w:r w:rsidRPr="00E91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(2014).</w:t>
      </w:r>
    </w:p>
    <w:p w:rsidR="00896395" w:rsidRPr="00E91DA4" w:rsidRDefault="00896395" w:rsidP="00896395">
      <w:pPr>
        <w:pStyle w:val="Prrafodelista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lastRenderedPageBreak/>
        <w:t>Preventores educativos, un camino posible – SEDRONAR</w:t>
      </w:r>
      <w:r>
        <w:rPr>
          <w:rFonts w:ascii="Times New Roman" w:hAnsi="Times New Roman"/>
          <w:sz w:val="24"/>
          <w:szCs w:val="24"/>
        </w:rPr>
        <w:t xml:space="preserve"> (2015).</w:t>
      </w:r>
    </w:p>
    <w:p w:rsidR="00896395" w:rsidRPr="00E91DA4" w:rsidRDefault="00896395" w:rsidP="00896395">
      <w:pPr>
        <w:pStyle w:val="Prrafodelista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Lineamientos curriculares para la prevención de las adicciones – Ministerio</w:t>
      </w:r>
      <w:r>
        <w:rPr>
          <w:rFonts w:ascii="Times New Roman" w:hAnsi="Times New Roman"/>
          <w:sz w:val="24"/>
          <w:szCs w:val="24"/>
        </w:rPr>
        <w:t xml:space="preserve"> de Educación de la Nación (2015).</w:t>
      </w:r>
    </w:p>
    <w:p w:rsidR="00896395" w:rsidRPr="000D7853" w:rsidRDefault="00896395" w:rsidP="00896395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91DA4">
        <w:rPr>
          <w:rFonts w:ascii="Times New Roman" w:hAnsi="Times New Roman"/>
          <w:sz w:val="24"/>
          <w:szCs w:val="24"/>
        </w:rPr>
        <w:t>Curso virtual “Cuidado y prevención de adicciones en el ámbit</w:t>
      </w:r>
      <w:r>
        <w:rPr>
          <w:rFonts w:ascii="Times New Roman" w:hAnsi="Times New Roman"/>
          <w:sz w:val="24"/>
          <w:szCs w:val="24"/>
        </w:rPr>
        <w:t>o educativo” – Nuestra escuela, Ministerio de Educación de la Nación (2015).</w:t>
      </w:r>
    </w:p>
    <w:p w:rsidR="00896395" w:rsidRDefault="00896395" w:rsidP="00896395">
      <w:pPr>
        <w:pStyle w:val="Prrafodelista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Cuadernillos  de  SEDRONAR: Estar en Prevención, PIP, Orientaciones para el Abordaje, y Orientaciones para la Intervención   (2016).</w:t>
      </w:r>
    </w:p>
    <w:p w:rsidR="00896395" w:rsidRDefault="00896395" w:rsidP="00896395">
      <w:pPr>
        <w:pStyle w:val="Prrafodelista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Cuadernillos de SEDRONAR: Cuidados En Juego. Nivel inicial. Nivel primario (2017).</w:t>
      </w:r>
    </w:p>
    <w:p w:rsidR="00896395" w:rsidRPr="00E91DA4" w:rsidRDefault="00896395" w:rsidP="00896395">
      <w:pPr>
        <w:pStyle w:val="Prrafodelist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6395" w:rsidRDefault="00896395" w:rsidP="0089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6395" w:rsidRDefault="00896395" w:rsidP="0089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41AC">
        <w:rPr>
          <w:rFonts w:ascii="Times New Roman" w:hAnsi="Times New Roman"/>
          <w:sz w:val="24"/>
          <w:szCs w:val="24"/>
        </w:rPr>
        <w:t xml:space="preserve">Coordinación de Políticas Transversales </w:t>
      </w:r>
    </w:p>
    <w:p w:rsidR="00896395" w:rsidRPr="00BC41AC" w:rsidRDefault="00896395" w:rsidP="0089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Educativo Provincial de Prevención de Adicciones.</w:t>
      </w:r>
    </w:p>
    <w:p w:rsidR="00896395" w:rsidRDefault="00896395" w:rsidP="0089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7D6">
        <w:rPr>
          <w:rFonts w:ascii="Times New Roman" w:hAnsi="Times New Roman"/>
          <w:sz w:val="24"/>
          <w:szCs w:val="24"/>
        </w:rPr>
        <w:t>Oficina 80, 3er piso – Córdoba y Laprida – Consejo General de Educación</w:t>
      </w:r>
    </w:p>
    <w:p w:rsidR="00896395" w:rsidRDefault="00896395" w:rsidP="0089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7D6">
        <w:rPr>
          <w:rFonts w:ascii="Times New Roman" w:hAnsi="Times New Roman"/>
          <w:sz w:val="24"/>
          <w:szCs w:val="24"/>
        </w:rPr>
        <w:t xml:space="preserve">Tel. (0343) 4840487 - </w:t>
      </w:r>
      <w:hyperlink r:id="rId8" w:history="1">
        <w:r w:rsidRPr="009C37D6">
          <w:rPr>
            <w:rStyle w:val="Hipervnculo"/>
            <w:rFonts w:ascii="Times New Roman" w:hAnsi="Times New Roman"/>
            <w:color w:val="0070C0"/>
            <w:sz w:val="24"/>
            <w:szCs w:val="24"/>
          </w:rPr>
          <w:t>predpacge@gmail.com</w:t>
        </w:r>
      </w:hyperlink>
    </w:p>
    <w:p w:rsidR="00896395" w:rsidRPr="00130B5E" w:rsidRDefault="00896395" w:rsidP="0089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74C22">
        <w:rPr>
          <w:rFonts w:ascii="Times New Roman" w:hAnsi="Times New Roman"/>
          <w:sz w:val="24"/>
          <w:szCs w:val="24"/>
        </w:rPr>
        <w:t>Facebook</w:t>
      </w:r>
      <w:proofErr w:type="spellEnd"/>
      <w:r w:rsidRPr="00574C22">
        <w:rPr>
          <w:rFonts w:ascii="Times New Roman" w:hAnsi="Times New Roman"/>
          <w:sz w:val="24"/>
          <w:szCs w:val="24"/>
        </w:rPr>
        <w:t xml:space="preserve">: </w:t>
      </w:r>
      <w:hyperlink r:id="rId9" w:tgtFrame="_blank" w:history="1">
        <w:r w:rsidRPr="00574C22">
          <w:rPr>
            <w:rStyle w:val="Hipervnculo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https://m.facebook.com/ProgramasEspecialesEducacion/</w:t>
        </w:r>
      </w:hyperlink>
    </w:p>
    <w:p w:rsidR="00896395" w:rsidRDefault="00896395" w:rsidP="0089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color w:val="000000"/>
        </w:rPr>
      </w:pPr>
    </w:p>
    <w:p w:rsidR="00896395" w:rsidRDefault="00896395" w:rsidP="00896395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C3AD6" w:rsidRPr="005020E4" w:rsidRDefault="005020E4" w:rsidP="00C50091">
      <w:pPr>
        <w:spacing w:after="0" w:line="360" w:lineRule="auto"/>
        <w:contextualSpacing/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  <w:lang w:val="es-ES"/>
        </w:rPr>
      </w:pPr>
      <w:r w:rsidRPr="00DF4A2B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  <w:lang w:val="es-ES"/>
        </w:rPr>
        <w:t> </w:t>
      </w:r>
    </w:p>
    <w:sectPr w:rsidR="00DC3AD6" w:rsidRPr="005020E4" w:rsidSect="005B73A8">
      <w:headerReference w:type="default" r:id="rId10"/>
      <w:pgSz w:w="11906" w:h="16838"/>
      <w:pgMar w:top="195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31" w:rsidRDefault="00050631" w:rsidP="005020E4">
      <w:pPr>
        <w:spacing w:after="0" w:line="240" w:lineRule="auto"/>
      </w:pPr>
      <w:r>
        <w:separator/>
      </w:r>
    </w:p>
  </w:endnote>
  <w:endnote w:type="continuationSeparator" w:id="0">
    <w:p w:rsidR="00050631" w:rsidRDefault="00050631" w:rsidP="0050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31" w:rsidRDefault="00050631" w:rsidP="005020E4">
      <w:pPr>
        <w:spacing w:after="0" w:line="240" w:lineRule="auto"/>
      </w:pPr>
      <w:r>
        <w:separator/>
      </w:r>
    </w:p>
  </w:footnote>
  <w:footnote w:type="continuationSeparator" w:id="0">
    <w:p w:rsidR="00050631" w:rsidRDefault="00050631" w:rsidP="0050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E4" w:rsidRDefault="005020E4">
    <w:pPr>
      <w:pStyle w:val="Encabezado"/>
    </w:pPr>
    <w:r w:rsidRPr="005020E4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160020</wp:posOffset>
          </wp:positionV>
          <wp:extent cx="2329815" cy="499745"/>
          <wp:effectExtent l="0" t="0" r="0" b="0"/>
          <wp:wrapSquare wrapText="bothSides"/>
          <wp:docPr id="3" name="Imagen 1" descr="E:\Downloads\cge-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cge-logo-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</w:t>
    </w:r>
    <w:r w:rsidRPr="005020E4">
      <w:rPr>
        <w:noProof/>
        <w:lang w:val="es-ES" w:eastAsia="es-ES"/>
      </w:rPr>
      <w:drawing>
        <wp:inline distT="0" distB="0" distL="0" distR="0">
          <wp:extent cx="1017535" cy="726162"/>
          <wp:effectExtent l="0" t="0" r="0" b="0"/>
          <wp:docPr id="4" name="Imagen 1" descr="D:\PROTOCOLOS\PROGRAMA ADICCIONES\ADICCIONES 2015\logo-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TOCOLOS\PROGRAMA ADICCIONES\ADICCIONES 2015\logo-definiti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284" cy="734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A56"/>
    <w:multiLevelType w:val="hybridMultilevel"/>
    <w:tmpl w:val="01E4C274"/>
    <w:lvl w:ilvl="0" w:tplc="C48012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6B4B"/>
    <w:multiLevelType w:val="hybridMultilevel"/>
    <w:tmpl w:val="769CB72A"/>
    <w:lvl w:ilvl="0" w:tplc="5D8647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3D0A"/>
    <w:multiLevelType w:val="hybridMultilevel"/>
    <w:tmpl w:val="72F6ACE6"/>
    <w:lvl w:ilvl="0" w:tplc="18561E9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62CD"/>
    <w:multiLevelType w:val="hybridMultilevel"/>
    <w:tmpl w:val="38DEEC24"/>
    <w:lvl w:ilvl="0" w:tplc="F47CFC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6A9"/>
    <w:multiLevelType w:val="hybridMultilevel"/>
    <w:tmpl w:val="1E560A34"/>
    <w:lvl w:ilvl="0" w:tplc="C480121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0244B"/>
    <w:multiLevelType w:val="hybridMultilevel"/>
    <w:tmpl w:val="2AA8D0A8"/>
    <w:lvl w:ilvl="0" w:tplc="C48012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71371"/>
    <w:multiLevelType w:val="hybridMultilevel"/>
    <w:tmpl w:val="CF0214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44016"/>
    <w:multiLevelType w:val="hybridMultilevel"/>
    <w:tmpl w:val="A3E05410"/>
    <w:lvl w:ilvl="0" w:tplc="C48012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4D59"/>
    <w:multiLevelType w:val="hybridMultilevel"/>
    <w:tmpl w:val="48F8AB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7C58"/>
    <w:multiLevelType w:val="hybridMultilevel"/>
    <w:tmpl w:val="17D0C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171E1"/>
    <w:multiLevelType w:val="hybridMultilevel"/>
    <w:tmpl w:val="4490B35C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3165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325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01"/>
    <w:rsid w:val="00041BE3"/>
    <w:rsid w:val="000454A4"/>
    <w:rsid w:val="00050631"/>
    <w:rsid w:val="00051C59"/>
    <w:rsid w:val="00125E81"/>
    <w:rsid w:val="0023013F"/>
    <w:rsid w:val="0025687F"/>
    <w:rsid w:val="0029185C"/>
    <w:rsid w:val="002A20D5"/>
    <w:rsid w:val="002B4DA6"/>
    <w:rsid w:val="00311A21"/>
    <w:rsid w:val="0035091E"/>
    <w:rsid w:val="00490FEE"/>
    <w:rsid w:val="005020E4"/>
    <w:rsid w:val="005B7007"/>
    <w:rsid w:val="005B73A8"/>
    <w:rsid w:val="007F5601"/>
    <w:rsid w:val="00810112"/>
    <w:rsid w:val="00896395"/>
    <w:rsid w:val="008E2EA9"/>
    <w:rsid w:val="00962B03"/>
    <w:rsid w:val="00B76DC9"/>
    <w:rsid w:val="00BA1640"/>
    <w:rsid w:val="00C50091"/>
    <w:rsid w:val="00CE6780"/>
    <w:rsid w:val="00D040A0"/>
    <w:rsid w:val="00D1757E"/>
    <w:rsid w:val="00DC3AD6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851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01"/>
    <w:pPr>
      <w:ind w:left="0" w:firstLine="0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56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7F5601"/>
    <w:pPr>
      <w:ind w:left="720"/>
    </w:pPr>
    <w:rPr>
      <w:rFonts w:eastAsiaTheme="minorEastAsia" w:cs="Calibri"/>
      <w:lang w:val="es-ES"/>
    </w:rPr>
  </w:style>
  <w:style w:type="paragraph" w:styleId="Textoindependiente3">
    <w:name w:val="Body Text 3"/>
    <w:basedOn w:val="Normal"/>
    <w:link w:val="Textoindependiente3Car"/>
    <w:unhideWhenUsed/>
    <w:rsid w:val="007F5601"/>
    <w:pPr>
      <w:spacing w:after="120"/>
    </w:pPr>
    <w:rPr>
      <w:rFonts w:eastAsia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F5601"/>
    <w:rPr>
      <w:rFonts w:ascii="Calibri" w:eastAsia="Times New Roman" w:hAnsi="Calibri" w:cs="Times New Roman"/>
      <w:sz w:val="16"/>
      <w:szCs w:val="16"/>
    </w:rPr>
  </w:style>
  <w:style w:type="paragraph" w:customStyle="1" w:styleId="Prrafodelista1">
    <w:name w:val="Párrafo de lista1"/>
    <w:basedOn w:val="Normal"/>
    <w:semiHidden/>
    <w:rsid w:val="007F5601"/>
    <w:pPr>
      <w:ind w:left="720"/>
    </w:pPr>
    <w:rPr>
      <w:rFonts w:eastAsia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D6"/>
    <w:rPr>
      <w:rFonts w:ascii="Tahoma" w:eastAsia="Calibri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02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20E4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02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20E4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pac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ProgramasEspecialesEduca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1380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Siete bis</dc:creator>
  <cp:keywords/>
  <dc:description/>
  <cp:lastModifiedBy>Siete bis</cp:lastModifiedBy>
  <cp:revision>9</cp:revision>
  <cp:lastPrinted>2018-01-29T15:12:00Z</cp:lastPrinted>
  <dcterms:created xsi:type="dcterms:W3CDTF">2017-12-13T14:51:00Z</dcterms:created>
  <dcterms:modified xsi:type="dcterms:W3CDTF">2018-01-29T15:17:00Z</dcterms:modified>
</cp:coreProperties>
</file>